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520448</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b/>
          <w:sz w:val="24"/>
          <w:szCs w:val="24"/>
          <w:highlight w:val="none"/>
          <w:lang w:eastAsia="zh-CN"/>
        </w:rPr>
        <w:t>Dallas, USA, Nov. 17-21, 2025</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12.2.2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spec for 6G specification enhancement</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078942">
      <w:pPr>
        <w:spacing w:after="180" w:line="240" w:lineRule="exact"/>
        <w:rPr>
          <w:rFonts w:hint="eastAsia"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RAN4#116 meeting, there was discussion about RAN4 6G topic planning based on 6G SID, RAN4 6G plan and meeting arrangement was approved [2]. one of the 6G topics is RAN4 operation efficiency, including CR/specification improvement. In last meeting, there is initial discussion RAN4 operation efficiency,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2"/>
          <w:highlight w:val="none"/>
          <w:lang w:val="en-US" w:eastAsia="zh-CN"/>
        </w:rPr>
        <w:t>RRM specification</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BB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49C43CF">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3-2-2: Structural Options and Specification Organization</w:t>
            </w:r>
          </w:p>
          <w:p w14:paraId="09E24E2B">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49DD85A9">
            <w:pPr>
              <w:pStyle w:val="15"/>
              <w:numPr>
                <w:ilvl w:val="1"/>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Proposal 1: High-level structure for new 6G RRM specs </w:t>
            </w:r>
          </w:p>
          <w:p w14:paraId="525D8D85">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1a: RAN4 to discuss the following for new 6G RRM specs:</w:t>
            </w:r>
          </w:p>
          <w:p w14:paraId="6A0AFB16">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 High level structure (highest level sections: Idle, Inactive etc.)</w:t>
            </w:r>
          </w:p>
          <w:p w14:paraId="424F57AE">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b. UE requirements for a scalable 6G design</w:t>
            </w:r>
          </w:p>
          <w:p w14:paraId="78E37C22">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 Any gain in further splitting the specification</w:t>
            </w:r>
          </w:p>
          <w:p w14:paraId="4A1E20F5">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 Test case mapping (e.g. TC reference in core part)</w:t>
            </w:r>
          </w:p>
          <w:p w14:paraId="00E3338B">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1b: Consider the following framework (preferred):</w:t>
            </w:r>
          </w:p>
          <w:p w14:paraId="273D1B7D">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RRC_IDLE/INACTIVE state mobility</w:t>
            </w:r>
          </w:p>
          <w:p w14:paraId="6E544288">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RRC_CONNECTED state mobility</w:t>
            </w:r>
          </w:p>
          <w:p w14:paraId="3189429F">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Timing</w:t>
            </w:r>
          </w:p>
          <w:p w14:paraId="79CD9C82">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Measurement procedure for RRC_CONNECTED state</w:t>
            </w:r>
          </w:p>
          <w:p w14:paraId="5FFA23C1">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RLM/BFD/CBD</w:t>
            </w:r>
          </w:p>
          <w:p w14:paraId="1A3A9F1F">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PSCell/SCell management (if applicable by PHY/high layer design in 6GR)</w:t>
            </w:r>
          </w:p>
          <w:p w14:paraId="55F73357">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Other UE-specific characteristic switching (if applicable by PHY design in 6GR)</w:t>
            </w:r>
          </w:p>
          <w:p w14:paraId="07796A99">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Measurement performance</w:t>
            </w:r>
          </w:p>
          <w:p w14:paraId="57FB28D3">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1c:</w:t>
            </w:r>
          </w:p>
          <w:p w14:paraId="595A1E29">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the 6G RRM spec, top level of sections 4, 5, 6, 7, 9, 10 in TS 38.133 can be reused.</w:t>
            </w:r>
          </w:p>
          <w:p w14:paraId="7144003B">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Section 8 is used to capture procedure delay related requirements.</w:t>
            </w:r>
          </w:p>
          <w:p w14:paraId="58C9C281">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Scheduling restriction related requirements and interruption requirements are captured in one high-level section.</w:t>
            </w:r>
          </w:p>
          <w:p w14:paraId="4F37BE6E">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L1 measurement requirements (incl. RLM and link recovery) and L3 measurement requirements are captured in one high-level section.</w:t>
            </w:r>
          </w:p>
          <w:p w14:paraId="28916D8F">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Some distinct features (e.g. sidelink requirements) can be captured in a separate section.</w:t>
            </w:r>
          </w:p>
          <w:p w14:paraId="6E24DA7E">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Proposal 1d:  </w:t>
            </w:r>
            <w:r>
              <w:rPr>
                <w:rFonts w:hint="default" w:ascii="Times New Roman" w:hAnsi="Times New Roman" w:cs="Times New Roman"/>
                <w:sz w:val="20"/>
                <w:szCs w:val="20"/>
                <w:lang w:eastAsia="zh-CN"/>
              </w:rPr>
              <w:t>The following skeleton as a starting point:</w:t>
            </w:r>
          </w:p>
          <w:p w14:paraId="16DF01EC">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Requirements for RRC_Idle/Inactive</w:t>
            </w:r>
          </w:p>
          <w:p w14:paraId="04596ED0">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Requirements for RRC_Connected</w:t>
            </w:r>
          </w:p>
          <w:p w14:paraId="75FCDE40">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Requirements for timing signal</w:t>
            </w:r>
          </w:p>
          <w:p w14:paraId="00E74267">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Requirements for the measurement procedure</w:t>
            </w:r>
          </w:p>
          <w:p w14:paraId="42EB145A">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Reconsider if there should be RRC_INACTIVE.</w:t>
            </w:r>
          </w:p>
          <w:p w14:paraId="4F789D9B">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Second-level heading to be discussed further:</w:t>
            </w:r>
          </w:p>
          <w:p w14:paraId="6143319A">
            <w:pPr>
              <w:pStyle w:val="15"/>
              <w:numPr>
                <w:ilvl w:val="4"/>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More UE states</w:t>
            </w:r>
          </w:p>
          <w:p w14:paraId="69D2C92B">
            <w:pPr>
              <w:pStyle w:val="15"/>
              <w:numPr>
                <w:ilvl w:val="4"/>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 Intra/inter-frequency requirements separation</w:t>
            </w:r>
          </w:p>
          <w:p w14:paraId="567C69DC">
            <w:pPr>
              <w:pStyle w:val="15"/>
              <w:numPr>
                <w:ilvl w:val="4"/>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RRM unified requirement framework.</w:t>
            </w:r>
          </w:p>
          <w:p w14:paraId="7DF604B2">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1e: Specification structure for 6G test cases is similar to the requirements structure in the main part of the specification (at least top level, maybe second level).</w:t>
            </w:r>
          </w:p>
          <w:p w14:paraId="621F1075">
            <w:pPr>
              <w:pStyle w:val="15"/>
              <w:numPr>
                <w:ilvl w:val="2"/>
                <w:numId w:val="5"/>
              </w:numPr>
              <w:spacing w:after="120"/>
              <w:ind w:firstLineChars="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 1f: the overall spec structure in 5GNR can be inherited such as: RRC_IDLE/INACTIVE/ CONNECTED state mobility, Timing, Signaling, Measurement. etc.</w:t>
            </w:r>
          </w:p>
          <w:p w14:paraId="5CC732A4">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val="en-US" w:eastAsia="zh-CN"/>
              </w:rPr>
              <w:t>Decide the high-level principle to decide whether a new feature is introduced, new sub-clauses can be allowed or not. Preferable to category the clauses from procedures and different assumptions rather than UE types.</w:t>
            </w:r>
          </w:p>
          <w:p w14:paraId="60EEAB1F">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Even the named of procedures are the same as in 5GNR, it doesn’t mean the exactly same RRM requirements in 5GNR will be reused.</w:t>
            </w:r>
          </w:p>
          <w:p w14:paraId="3F27B388">
            <w:pPr>
              <w:pStyle w:val="15"/>
              <w:numPr>
                <w:ilvl w:val="3"/>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Achieve the common assumption of each component for different UE capabilities, including assumption of RF and BB processing, like: RF retuning time, AGC time, time for change bandwidth, time for BB processing, T/F tracking, number of searchers, etc</w:t>
            </w:r>
          </w:p>
          <w:p w14:paraId="711F3821">
            <w:pPr>
              <w:pStyle w:val="15"/>
              <w:numPr>
                <w:ilvl w:val="1"/>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Proposal 2: </w:t>
            </w:r>
            <w:r>
              <w:rPr>
                <w:rFonts w:hint="default" w:ascii="Times New Roman" w:hAnsi="Times New Roman" w:cs="Times New Roman"/>
                <w:sz w:val="20"/>
                <w:szCs w:val="20"/>
                <w:lang w:eastAsia="zh-CN"/>
              </w:rPr>
              <w:t>The following alternatives can be considered in 6G to improve spec readability:</w:t>
            </w:r>
          </w:p>
          <w:p w14:paraId="55B92E04">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a single spec for all UE features</w:t>
            </w:r>
          </w:p>
          <w:p w14:paraId="3C273C2D">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different sub-specs for common features and other vertical UE features (e.g. sidelink, NTN)</w:t>
            </w:r>
          </w:p>
          <w:p w14:paraId="483C5354">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different sub-specs for core, performance, TC separately.</w:t>
            </w:r>
          </w:p>
          <w:p w14:paraId="4D559435">
            <w:pPr>
              <w:pStyle w:val="15"/>
              <w:numPr>
                <w:ilvl w:val="1"/>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3: The basic functionalities and prioritize 6G day-1 typical cases’ requirements.</w:t>
            </w:r>
          </w:p>
          <w:p w14:paraId="67239529">
            <w:pPr>
              <w:pStyle w:val="15"/>
              <w:numPr>
                <w:ilvl w:val="1"/>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4: Avoid duplication and repetition of UE requirements for different scenarios and use cases.</w:t>
            </w:r>
          </w:p>
          <w:p w14:paraId="5B1E32EA">
            <w:pPr>
              <w:pStyle w:val="15"/>
              <w:numPr>
                <w:ilvl w:val="1"/>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5:</w:t>
            </w:r>
          </w:p>
          <w:p w14:paraId="30941FDD">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5a: RAN4 to study how new features introduced in 6G are captured in RRM requirements specification.</w:t>
            </w:r>
          </w:p>
          <w:p w14:paraId="3D97277E">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5b: New features introduced in later releases are captured either by incorporating in existing sections or by creating new sub-sections. Same suffix should be used for the same feature in different sub-sections.</w:t>
            </w:r>
          </w:p>
          <w:p w14:paraId="6AD2EE2E">
            <w:pPr>
              <w:pStyle w:val="15"/>
              <w:numPr>
                <w:ilvl w:val="1"/>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Proposal 6: </w:t>
            </w:r>
          </w:p>
          <w:p w14:paraId="390839A5">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6a: Consider split RRM spec into two files for core part and performance part, respectively.</w:t>
            </w:r>
          </w:p>
          <w:p w14:paraId="0B984E2E">
            <w:pPr>
              <w:pStyle w:val="15"/>
              <w:numPr>
                <w:ilvl w:val="2"/>
                <w:numId w:val="5"/>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6b: Avoid defining too huge spec like 38.133; consider splitting the 6G RRM spec into several specs covering core requirements, performance requirements, and test cases respectively.</w:t>
            </w:r>
          </w:p>
          <w:p w14:paraId="180B26B5">
            <w:pPr>
              <w:spacing w:after="180" w:line="240" w:lineRule="exact"/>
              <w:rPr>
                <w:rFonts w:hint="default" w:ascii="Times New Roman" w:hAnsi="Times New Roman" w:eastAsia="等线" w:cs="Times New Roman"/>
                <w:bCs/>
                <w:iCs/>
                <w:sz w:val="20"/>
                <w:szCs w:val="20"/>
                <w:vertAlign w:val="baseline"/>
                <w:lang w:val="en-US" w:eastAsia="zh-CN"/>
              </w:rPr>
            </w:pPr>
          </w:p>
        </w:tc>
      </w:tr>
    </w:tbl>
    <w:p w14:paraId="2D2525D3">
      <w:pPr>
        <w:spacing w:after="180" w:line="240" w:lineRule="exact"/>
        <w:rPr>
          <w:rFonts w:hint="eastAsia" w:ascii="Times New Roman" w:hAnsi="Times New Roman" w:eastAsia="等线"/>
          <w:bCs/>
          <w:iCs/>
          <w:sz w:val="20"/>
          <w:szCs w:val="20"/>
          <w:lang w:val="en-US" w:eastAsia="zh-CN"/>
        </w:rPr>
      </w:pPr>
    </w:p>
    <w:p w14:paraId="15FFF36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There are many requirements defined in RRM spec TS38.133. In general the requirements can be categorized as  RRC_IDLE state mobility, RRC_INACTIVE state mobility, RRC_CONNECTED state mobility, Timing, Signalling characteristics, Measurement Procedure, Measurement Performance requirements, V2X Requirements, NR Sidelink Measurements for Positioning, Measurement Performance Requirements for NR gNB. For 6GR, from the perspective of RRM, the focus is RRM requirement and procedure aspects aiming at improvements and/or simplification compared to 5G NR. Based on above consideration, V2X Requirements, NR Sidelink Measurements for Positioning, etc, may not need to be considered in day-1.</w:t>
      </w:r>
    </w:p>
    <w:p w14:paraId="6E8E8B4E">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in general, it is proposed to consider following table as starting point for 6G study on RRM specification organization.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7019"/>
      </w:tblGrid>
      <w:tr w14:paraId="63EE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EFB53DC">
            <w:pPr>
              <w:spacing w:after="180" w:line="240" w:lineRule="exact"/>
              <w:rPr>
                <w:rFonts w:hint="default" w:ascii="Times New Roman" w:hAnsi="Times New Roman" w:eastAsia="等线"/>
                <w:b/>
                <w:bCs w:val="0"/>
                <w:i/>
                <w:iCs w:val="0"/>
                <w:sz w:val="20"/>
                <w:szCs w:val="20"/>
                <w:vertAlign w:val="baseline"/>
                <w:lang w:val="en-US" w:eastAsia="zh-CN"/>
              </w:rPr>
            </w:pPr>
          </w:p>
        </w:tc>
        <w:tc>
          <w:tcPr>
            <w:tcW w:w="7019" w:type="dxa"/>
          </w:tcPr>
          <w:p w14:paraId="037416D0">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Detail on </w:t>
            </w:r>
            <w:r>
              <w:rPr>
                <w:rFonts w:hint="eastAsia" w:ascii="Times New Roman" w:hAnsi="Times New Roman" w:eastAsia="等线"/>
                <w:b/>
                <w:bCs w:val="0"/>
                <w:i/>
                <w:iCs w:val="0"/>
                <w:sz w:val="20"/>
                <w:szCs w:val="20"/>
                <w:lang w:val="en-US" w:eastAsia="zh-CN"/>
              </w:rPr>
              <w:t>RRM requirements and procedure aspects</w:t>
            </w:r>
          </w:p>
        </w:tc>
      </w:tr>
      <w:tr w14:paraId="60132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29CD0FA">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RRC_IDLE state mobility</w:t>
            </w:r>
          </w:p>
        </w:tc>
        <w:tc>
          <w:tcPr>
            <w:tcW w:w="7019" w:type="dxa"/>
          </w:tcPr>
          <w:p w14:paraId="734FD318">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Idle Mode CA/DC Measurements, Measurement report for fast CA/DC setup, etc</w:t>
            </w:r>
          </w:p>
        </w:tc>
      </w:tr>
      <w:tr w14:paraId="1767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705183D4">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RRC_INACTIVE state mobility</w:t>
            </w:r>
          </w:p>
        </w:tc>
        <w:tc>
          <w:tcPr>
            <w:tcW w:w="7019" w:type="dxa"/>
          </w:tcPr>
          <w:p w14:paraId="567F69E5">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Inactive Mode CA/DC Measurements, Measurement report for fast CA/DC setup, etc</w:t>
            </w:r>
          </w:p>
        </w:tc>
      </w:tr>
      <w:tr w14:paraId="0D09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3AD6BFF6">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RRC_CONNECTED state mobility</w:t>
            </w:r>
          </w:p>
        </w:tc>
        <w:tc>
          <w:tcPr>
            <w:tcW w:w="7019" w:type="dxa"/>
          </w:tcPr>
          <w:p w14:paraId="30946C8E">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Handover, Conditional Handover, RRC Re-establishment, Random access, L1/L2-Triggered Mobility, etc</w:t>
            </w:r>
          </w:p>
        </w:tc>
      </w:tr>
      <w:tr w14:paraId="31E4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5E109576">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Timing</w:t>
            </w:r>
          </w:p>
        </w:tc>
        <w:tc>
          <w:tcPr>
            <w:tcW w:w="7019" w:type="dxa"/>
          </w:tcPr>
          <w:p w14:paraId="46D7D640">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UE transmit timing, UE timer accuracy, Timing advance, Cell phase synchronization accuracy, Maximum Transmission Timing Difference, Maximum Receive Timing Difference, etc</w:t>
            </w:r>
          </w:p>
        </w:tc>
      </w:tr>
      <w:tr w14:paraId="527F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04555B58">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Signalling characteristics</w:t>
            </w:r>
          </w:p>
        </w:tc>
        <w:tc>
          <w:tcPr>
            <w:tcW w:w="7019" w:type="dxa"/>
          </w:tcPr>
          <w:p w14:paraId="5A591365">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Radio Link Monitoring, Interruption, SCell Activation and Deactivation Delay, Link Recovery Procedures, etc</w:t>
            </w:r>
          </w:p>
        </w:tc>
      </w:tr>
      <w:tr w14:paraId="240F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B67A36B">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Procedure</w:t>
            </w:r>
          </w:p>
        </w:tc>
        <w:tc>
          <w:tcPr>
            <w:tcW w:w="7019" w:type="dxa"/>
          </w:tcPr>
          <w:p w14:paraId="77494397">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Measurement gap including gap pattern and gap type, UE Measurement capability, L3/L1 measurements requirements, Inter-RAT measurements, etc</w:t>
            </w:r>
          </w:p>
        </w:tc>
      </w:tr>
      <w:tr w14:paraId="362E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65C2CD4">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Performance requirements</w:t>
            </w:r>
          </w:p>
        </w:tc>
        <w:tc>
          <w:tcPr>
            <w:tcW w:w="7019" w:type="dxa"/>
          </w:tcPr>
          <w:p w14:paraId="4ADFF54A">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RSRP/RSRQ/SINR accuracy requirements, etc</w:t>
            </w:r>
          </w:p>
        </w:tc>
      </w:tr>
    </w:tbl>
    <w:p w14:paraId="7A68A550">
      <w:pPr>
        <w:spacing w:after="180" w:line="240" w:lineRule="exact"/>
        <w:rPr>
          <w:rFonts w:hint="eastAsia" w:ascii="Times New Roman" w:hAnsi="Times New Roman" w:eastAsia="等线"/>
          <w:bCs/>
          <w:iCs/>
          <w:sz w:val="20"/>
          <w:szCs w:val="20"/>
          <w:lang w:val="en-US" w:eastAsia="zh-CN"/>
        </w:rPr>
      </w:pPr>
    </w:p>
    <w:p w14:paraId="6563271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One lesson learned from NR is that RAN4 RRM delegates spend a lot effort in the definition of intra-frequency/inter-frequency measurement, but the actual impact is only about how to categorize requirements from RAN4 perspective. And the tough discussion is repeated again and again for different type of measurement. Following is the summary of definition on intra-frequency/ inter-frequency measurement.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72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45B8A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L3 measurement</w:t>
            </w:r>
          </w:p>
          <w:p w14:paraId="5B7849BB">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  </w:t>
            </w:r>
          </w:p>
          <w:p w14:paraId="4608591E">
            <w:pPr>
              <w:spacing w:after="180" w:line="240" w:lineRule="exact"/>
              <w:rPr>
                <w:rFonts w:hint="default" w:ascii="Times New Roman" w:hAnsi="Times New Roman" w:eastAsia="等线" w:cs="Times New Roman"/>
                <w:b/>
                <w:bCs w:val="0"/>
                <w:iCs/>
                <w:sz w:val="20"/>
                <w:szCs w:val="20"/>
                <w:vertAlign w:val="baseline"/>
                <w:lang w:val="en-US" w:eastAsia="zh-CN"/>
              </w:rPr>
            </w:pPr>
          </w:p>
          <w:p w14:paraId="1240915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L3 measurement</w:t>
            </w:r>
          </w:p>
          <w:p w14:paraId="2E0D36C7">
            <w:pPr>
              <w:tabs>
                <w:tab w:val="left" w:pos="0"/>
              </w:tabs>
              <w:rPr>
                <w:rFonts w:hint="default" w:ascii="Times New Roman" w:hAnsi="Times New Roman" w:cs="Times New Roman"/>
                <w:sz w:val="20"/>
                <w:szCs w:val="20"/>
                <w:lang w:eastAsia="ja-JP" w:bidi="hi-IN"/>
              </w:rPr>
            </w:pPr>
            <w:r>
              <w:rPr>
                <w:rFonts w:hint="default" w:ascii="Times New Roman" w:hAnsi="Times New Roman" w:cs="Times New Roman" w:eastAsiaTheme="minorEastAsia"/>
                <w:sz w:val="20"/>
                <w:szCs w:val="20"/>
                <w:lang w:eastAsia="zh-CN"/>
              </w:rPr>
              <w:t>A</w:t>
            </w:r>
            <w:r>
              <w:rPr>
                <w:rFonts w:hint="default" w:ascii="Times New Roman" w:hAnsi="Times New Roman" w:cs="Times New Roman"/>
                <w:sz w:val="20"/>
                <w:szCs w:val="20"/>
              </w:rPr>
              <w:t xml:space="preserve"> measurement is defined as a CSI-RS based intra-frequency measurement provided that:</w:t>
            </w:r>
          </w:p>
          <w:p w14:paraId="5FCF2ED3">
            <w:pPr>
              <w:pStyle w:val="18"/>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SCS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SCS of the CSI-RS resource on the serving cell indicated for measurement, and</w:t>
            </w:r>
          </w:p>
          <w:p w14:paraId="2A444F50">
            <w:pPr>
              <w:pStyle w:val="18"/>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CP type of the CSI-RS resource of neighbour cell configured for measurement </w:t>
            </w:r>
            <w:r>
              <w:rPr>
                <w:rFonts w:hint="default" w:ascii="Times New Roman" w:hAnsi="Times New Roman" w:cs="Times New Roman"/>
                <w:sz w:val="20"/>
                <w:szCs w:val="20"/>
                <w:lang w:eastAsia="zh-CN" w:bidi="hi-IN"/>
              </w:rPr>
              <w:t>is the same as the CP type of the CSI-RS resource of</w:t>
            </w:r>
            <w:r>
              <w:rPr>
                <w:rFonts w:hint="default" w:ascii="Times New Roman" w:hAnsi="Times New Roman" w:cs="Times New Roman"/>
                <w:sz w:val="20"/>
                <w:szCs w:val="20"/>
                <w:lang w:eastAsia="ja-JP" w:bidi="hi-IN"/>
              </w:rPr>
              <w:t xml:space="preserve"> </w:t>
            </w:r>
            <w:r>
              <w:rPr>
                <w:rFonts w:hint="default" w:ascii="Times New Roman" w:hAnsi="Times New Roman" w:cs="Times New Roman"/>
                <w:sz w:val="20"/>
                <w:szCs w:val="20"/>
                <w:lang w:eastAsia="zh-CN" w:bidi="hi-IN"/>
              </w:rPr>
              <w:t>the serving</w:t>
            </w:r>
            <w:r>
              <w:rPr>
                <w:rFonts w:hint="default" w:ascii="Times New Roman" w:hAnsi="Times New Roman" w:cs="Times New Roman"/>
                <w:sz w:val="20"/>
                <w:szCs w:val="20"/>
                <w:lang w:eastAsia="ja-JP" w:bidi="hi-IN"/>
              </w:rPr>
              <w:t xml:space="preserve"> cell indicated for measurement, and</w:t>
            </w:r>
          </w:p>
          <w:p w14:paraId="19A370CE">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It is applied for SCS = 60KHz</w:t>
            </w:r>
          </w:p>
          <w:p w14:paraId="2E2B3FEA">
            <w:pPr>
              <w:pStyle w:val="18"/>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centre frequency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centre frequency of the CSI-RS resource of the serving cell indicated for measurement</w:t>
            </w:r>
          </w:p>
          <w:p w14:paraId="48EE2345">
            <w:pPr>
              <w:spacing w:after="180" w:line="240" w:lineRule="exact"/>
              <w:rPr>
                <w:rFonts w:hint="default" w:ascii="Times New Roman" w:hAnsi="Times New Roman" w:eastAsia="等线" w:cs="Times New Roman"/>
                <w:bCs/>
                <w:iCs/>
                <w:sz w:val="20"/>
                <w:szCs w:val="20"/>
                <w:vertAlign w:val="baseline"/>
                <w:lang w:val="en-US" w:eastAsia="zh-CN"/>
              </w:rPr>
            </w:pPr>
          </w:p>
          <w:p w14:paraId="06C2E86F">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L1 measurement</w:t>
            </w:r>
          </w:p>
          <w:p w14:paraId="1DF26394">
            <w:pPr>
              <w:rPr>
                <w:rFonts w:hint="default" w:ascii="Times New Roman" w:hAnsi="Times New Roman" w:cs="Times New Roman"/>
                <w:sz w:val="20"/>
                <w:szCs w:val="20"/>
              </w:rPr>
            </w:pPr>
            <w:r>
              <w:rPr>
                <w:rFonts w:hint="default" w:ascii="Times New Roman" w:hAnsi="Times New Roman" w:cs="Times New Roman"/>
                <w:sz w:val="20"/>
                <w:szCs w:val="20"/>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16DEC63F">
            <w:pPr>
              <w:spacing w:after="180" w:line="240" w:lineRule="exact"/>
              <w:rPr>
                <w:rFonts w:hint="default" w:ascii="Times New Roman" w:hAnsi="Times New Roman" w:eastAsia="等线" w:cs="Times New Roman"/>
                <w:bCs/>
                <w:iCs/>
                <w:sz w:val="20"/>
                <w:szCs w:val="20"/>
                <w:vertAlign w:val="baseline"/>
                <w:lang w:val="en-US" w:eastAsia="zh-CN"/>
              </w:rPr>
            </w:pPr>
          </w:p>
          <w:p w14:paraId="65AB0AF0">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L1 measurement</w:t>
            </w:r>
          </w:p>
          <w:p w14:paraId="515BFBAF">
            <w:pPr>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A measurement is defined as a CSI-RS based intra-frequency L1-RSRP measurement provided </w:t>
            </w:r>
            <w:r>
              <w:rPr>
                <w:rFonts w:hint="default" w:ascii="Times New Roman" w:hAnsi="Times New Roman" w:cs="Times New Roman"/>
                <w:sz w:val="20"/>
                <w:szCs w:val="20"/>
                <w:lang w:eastAsia="zh-CN"/>
              </w:rPr>
              <w:t>that:</w:t>
            </w:r>
          </w:p>
          <w:p w14:paraId="50D351C6">
            <w:pPr>
              <w:pStyle w:val="18"/>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the SCS of the CSI-RS resource of LTM candidate cell(s) configured for L1 measurement is the same as the SCS of active DL BWP, and</w:t>
            </w:r>
          </w:p>
          <w:p w14:paraId="55F4F3AB">
            <w:pPr>
              <w:pStyle w:val="18"/>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for SCS of 60KHz, the CP type of the CSI-RS resource of LTM candidate cell(s) configured for L1 measurement is the same as the CP type of active DL BWP, and</w:t>
            </w:r>
          </w:p>
          <w:p w14:paraId="3134BFB0">
            <w:pPr>
              <w:pStyle w:val="18"/>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at least 48 RBs of the CSI-RS resource of LTM candidate cell(s) configured for L1 measurement is included within the active DL BWP.</w:t>
            </w:r>
          </w:p>
          <w:p w14:paraId="610680BE">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1F41DA9">
      <w:pPr>
        <w:spacing w:after="180" w:line="240" w:lineRule="exact"/>
        <w:rPr>
          <w:rFonts w:hint="default" w:ascii="Times New Roman" w:hAnsi="Times New Roman" w:eastAsia="等线"/>
          <w:bCs/>
          <w:iCs/>
          <w:sz w:val="20"/>
          <w:szCs w:val="20"/>
          <w:lang w:val="en-US" w:eastAsia="zh-CN"/>
        </w:rPr>
      </w:pPr>
    </w:p>
    <w:p w14:paraId="52211F70">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lang w:val="en-US" w:eastAsia="zh-CN"/>
        </w:rPr>
        <w:t>In our understanding, from RAN4 perspective, the original motivation to have definition on intra-frequency/ inter-frequency measurement is that it can be combined whether measurement gap is needed or not based on the measurement type. For LTE, for most cases, intra-frequency measurement means no measurement gap, inter-frequency measurement means measurement gap is needed. However, the situation is different for NR. Whether measurement gap is needed or not is not decided by the the intra-frequency measurement definition. The key point is whether target reference signal is within UE active BWP or not. Taking SSB based L3 measurement as an example, r</w:t>
      </w:r>
      <w:r>
        <w:rPr>
          <w:rFonts w:hint="default" w:ascii="Times New Roman" w:hAnsi="Times New Roman" w:eastAsia="等线"/>
          <w:bCs/>
          <w:iCs/>
          <w:sz w:val="20"/>
          <w:szCs w:val="20"/>
          <w:vertAlign w:val="baseline"/>
          <w:lang w:val="en-US" w:eastAsia="zh-CN"/>
        </w:rPr>
        <w:t>equirements are categorized into 4 cases: intra-f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without</w:t>
      </w:r>
      <w:r>
        <w:rPr>
          <w:rFonts w:hint="default" w:ascii="Times New Roman" w:hAnsi="Times New Roman" w:eastAsia="等线"/>
          <w:bCs/>
          <w:iCs/>
          <w:sz w:val="20"/>
          <w:szCs w:val="20"/>
          <w:vertAlign w:val="baseline"/>
          <w:lang w:val="en-US" w:eastAsia="zh-CN"/>
        </w:rPr>
        <w:t xml:space="preserve"> gap, intra-f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w:t>
      </w:r>
      <w:r>
        <w:rPr>
          <w:rFonts w:hint="default" w:ascii="Times New Roman" w:hAnsi="Times New Roman" w:eastAsia="等线"/>
          <w:bCs/>
          <w:iCs/>
          <w:sz w:val="20"/>
          <w:szCs w:val="20"/>
          <w:vertAlign w:val="baseline"/>
          <w:lang w:val="en-US" w:eastAsia="zh-CN"/>
        </w:rPr>
        <w:t xml:space="preserve"> gap, int</w:t>
      </w:r>
      <w:r>
        <w:rPr>
          <w:rFonts w:hint="eastAsia" w:ascii="Times New Roman" w:hAnsi="Times New Roman" w:eastAsia="等线"/>
          <w:bCs/>
          <w:iCs/>
          <w:sz w:val="20"/>
          <w:szCs w:val="20"/>
          <w:vertAlign w:val="baseline"/>
          <w:lang w:val="en-US" w:eastAsia="zh-CN"/>
        </w:rPr>
        <w:t>er</w:t>
      </w:r>
      <w:r>
        <w:rPr>
          <w:rFonts w:hint="default" w:ascii="Times New Roman" w:hAnsi="Times New Roman" w:eastAsia="等线"/>
          <w:bCs/>
          <w:iCs/>
          <w:sz w:val="20"/>
          <w:szCs w:val="20"/>
          <w:vertAlign w:val="baseline"/>
          <w:lang w:val="en-US" w:eastAsia="zh-CN"/>
        </w:rPr>
        <w:t>-f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without</w:t>
      </w:r>
      <w:r>
        <w:rPr>
          <w:rFonts w:hint="default" w:ascii="Times New Roman" w:hAnsi="Times New Roman" w:eastAsia="等线"/>
          <w:bCs/>
          <w:iCs/>
          <w:sz w:val="20"/>
          <w:szCs w:val="20"/>
          <w:vertAlign w:val="baseline"/>
          <w:lang w:val="en-US" w:eastAsia="zh-CN"/>
        </w:rPr>
        <w:t xml:space="preserve"> gap, int</w:t>
      </w:r>
      <w:r>
        <w:rPr>
          <w:rFonts w:hint="eastAsia" w:ascii="Times New Roman" w:hAnsi="Times New Roman" w:eastAsia="等线"/>
          <w:bCs/>
          <w:iCs/>
          <w:sz w:val="20"/>
          <w:szCs w:val="20"/>
          <w:vertAlign w:val="baseline"/>
          <w:lang w:val="en-US" w:eastAsia="zh-CN"/>
        </w:rPr>
        <w:t>er</w:t>
      </w:r>
      <w:r>
        <w:rPr>
          <w:rFonts w:hint="default" w:ascii="Times New Roman" w:hAnsi="Times New Roman" w:eastAsia="等线"/>
          <w:bCs/>
          <w:iCs/>
          <w:sz w:val="20"/>
          <w:szCs w:val="20"/>
          <w:vertAlign w:val="baseline"/>
          <w:lang w:val="en-US" w:eastAsia="zh-CN"/>
        </w:rPr>
        <w:t>-f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w:t>
      </w:r>
      <w:r>
        <w:rPr>
          <w:rFonts w:hint="default" w:ascii="Times New Roman" w:hAnsi="Times New Roman" w:eastAsia="等线"/>
          <w:bCs/>
          <w:iCs/>
          <w:sz w:val="20"/>
          <w:szCs w:val="20"/>
          <w:vertAlign w:val="baseline"/>
          <w:lang w:val="en-US" w:eastAsia="zh-CN"/>
        </w:rPr>
        <w:t xml:space="preserve"> gap</w:t>
      </w:r>
      <w:r>
        <w:rPr>
          <w:rFonts w:hint="eastAsia" w:ascii="Times New Roman" w:hAnsi="Times New Roman" w:eastAsia="等线"/>
          <w:bCs/>
          <w:iCs/>
          <w:sz w:val="20"/>
          <w:szCs w:val="20"/>
          <w:vertAlign w:val="baseline"/>
          <w:lang w:val="en-US" w:eastAsia="zh-CN"/>
        </w:rPr>
        <w:t>. This categorization results in a lot workload when discussing enhancement in later release.</w:t>
      </w:r>
    </w:p>
    <w:p w14:paraId="685F7F2A">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Observation 1: in NR, with the definition on </w:t>
      </w:r>
      <w:r>
        <w:rPr>
          <w:rFonts w:hint="eastAsia" w:ascii="Times New Roman" w:hAnsi="Times New Roman" w:eastAsia="等线"/>
          <w:b/>
          <w:bCs w:val="0"/>
          <w:i/>
          <w:iCs w:val="0"/>
          <w:sz w:val="20"/>
          <w:szCs w:val="20"/>
          <w:lang w:val="en-US" w:eastAsia="zh-CN"/>
        </w:rPr>
        <w:t>intra-frequency/inter-frequency measurement, measurement r</w:t>
      </w:r>
      <w:r>
        <w:rPr>
          <w:rFonts w:hint="default" w:ascii="Times New Roman" w:hAnsi="Times New Roman" w:eastAsia="等线"/>
          <w:b/>
          <w:bCs w:val="0"/>
          <w:i/>
          <w:iCs w:val="0"/>
          <w:sz w:val="20"/>
          <w:szCs w:val="20"/>
          <w:vertAlign w:val="baseline"/>
          <w:lang w:val="en-US" w:eastAsia="zh-CN"/>
        </w:rPr>
        <w:t>equirements are categorized into 4 cases: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w:t>
      </w:r>
      <w:r>
        <w:rPr>
          <w:rFonts w:hint="eastAsia" w:ascii="Times New Roman" w:hAnsi="Times New Roman" w:eastAsia="等线"/>
          <w:b/>
          <w:bCs w:val="0"/>
          <w:i/>
          <w:iCs w:val="0"/>
          <w:sz w:val="20"/>
          <w:szCs w:val="20"/>
          <w:vertAlign w:val="baseline"/>
          <w:lang w:val="en-US" w:eastAsia="zh-CN"/>
        </w:rPr>
        <w:t xml:space="preserve">, which results in complex specification and increased RAN4 workload.   </w:t>
      </w:r>
    </w:p>
    <w:p w14:paraId="6946A57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6GR, one general issue nee to be careful considered is how to handle the definition on intra-frequency/ inter-frequency measurement. Do we need the definition. If the definition is only about requirements categorization, maybe no definition is also OK. One option is that no definition on intra-frequency/ inter-frequency measurement. RRM requirements are categorized as measurement with gap and measurement without gap. </w:t>
      </w:r>
    </w:p>
    <w:p w14:paraId="0308635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discuss whether following consideration is feasible for RRM requirements categorization</w:t>
      </w:r>
    </w:p>
    <w:p w14:paraId="5FB47B6D">
      <w:pPr>
        <w:numPr>
          <w:ilvl w:val="0"/>
          <w:numId w:val="6"/>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Option 1: no definition on intra-frequency/ inter-frequency measurement. Measurement requirements are categorized as measurement with gap and measurement without gap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spec for 6G specification enhancement</w:t>
      </w:r>
      <w:r>
        <w:rPr>
          <w:rFonts w:hint="eastAsia" w:ascii="Times New Roman" w:hAnsi="Times New Roman"/>
          <w:sz w:val="20"/>
          <w:szCs w:val="20"/>
        </w:rPr>
        <w:t>. The proposals are:</w:t>
      </w:r>
    </w:p>
    <w:p w14:paraId="4226A639">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in general, it is proposed to consider following table as starting point for 6G study on RRM specification organization.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7019"/>
      </w:tblGrid>
      <w:tr w14:paraId="11EDB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01CA58D8">
            <w:pPr>
              <w:spacing w:after="180" w:line="240" w:lineRule="exact"/>
              <w:rPr>
                <w:rFonts w:hint="default" w:ascii="Times New Roman" w:hAnsi="Times New Roman" w:eastAsia="等线"/>
                <w:b/>
                <w:bCs w:val="0"/>
                <w:i/>
                <w:iCs w:val="0"/>
                <w:sz w:val="20"/>
                <w:szCs w:val="20"/>
                <w:vertAlign w:val="baseline"/>
                <w:lang w:val="en-US" w:eastAsia="zh-CN"/>
              </w:rPr>
            </w:pPr>
          </w:p>
        </w:tc>
        <w:tc>
          <w:tcPr>
            <w:tcW w:w="7019" w:type="dxa"/>
          </w:tcPr>
          <w:p w14:paraId="579C2DFE">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Detail on </w:t>
            </w:r>
            <w:r>
              <w:rPr>
                <w:rFonts w:hint="eastAsia" w:ascii="Times New Roman" w:hAnsi="Times New Roman" w:eastAsia="等线"/>
                <w:b/>
                <w:bCs w:val="0"/>
                <w:i/>
                <w:iCs w:val="0"/>
                <w:sz w:val="20"/>
                <w:szCs w:val="20"/>
                <w:lang w:val="en-US" w:eastAsia="zh-CN"/>
              </w:rPr>
              <w:t>RRM requirements and procedure aspects</w:t>
            </w:r>
          </w:p>
        </w:tc>
      </w:tr>
      <w:tr w14:paraId="5AF8B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5691D3ED">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RRC_IDLE state mobility</w:t>
            </w:r>
          </w:p>
        </w:tc>
        <w:tc>
          <w:tcPr>
            <w:tcW w:w="7019" w:type="dxa"/>
          </w:tcPr>
          <w:p w14:paraId="31878CC7">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Idle Mode CA/DC Measurements, Measurement report for fast CA/DC setup, etc</w:t>
            </w:r>
          </w:p>
        </w:tc>
      </w:tr>
      <w:tr w14:paraId="0AC5A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0A4BA63D">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RRC_INACTIVE state mobility</w:t>
            </w:r>
          </w:p>
        </w:tc>
        <w:tc>
          <w:tcPr>
            <w:tcW w:w="7019" w:type="dxa"/>
          </w:tcPr>
          <w:p w14:paraId="05435DA0">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Inactive Mode CA/DC Measurements, Measurement report for fast CA/DC setup, etc</w:t>
            </w:r>
          </w:p>
        </w:tc>
      </w:tr>
      <w:tr w14:paraId="221A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5EC9D9F5">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RRC_CONNECTED state mobility</w:t>
            </w:r>
          </w:p>
        </w:tc>
        <w:tc>
          <w:tcPr>
            <w:tcW w:w="7019" w:type="dxa"/>
          </w:tcPr>
          <w:p w14:paraId="5B5907E6">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Handover, Conditional Handover, RRC Re-establishment, Random access, L1/L2-Triggered Mobility, etc</w:t>
            </w:r>
          </w:p>
        </w:tc>
      </w:tr>
      <w:tr w14:paraId="13A6E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5BCB7D5D">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Timing</w:t>
            </w:r>
          </w:p>
        </w:tc>
        <w:tc>
          <w:tcPr>
            <w:tcW w:w="7019" w:type="dxa"/>
          </w:tcPr>
          <w:p w14:paraId="3865FD08">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UE transmit timing, UE timer accuracy, Timing advance, Cell phase synchronization accuracy, Maximum Transmission Timing Difference, Maximum Receive Timing Difference, etc</w:t>
            </w:r>
          </w:p>
        </w:tc>
      </w:tr>
      <w:tr w14:paraId="74048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2DC181F">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Signalling characteristics</w:t>
            </w:r>
          </w:p>
        </w:tc>
        <w:tc>
          <w:tcPr>
            <w:tcW w:w="7019" w:type="dxa"/>
          </w:tcPr>
          <w:p w14:paraId="6309DDEC">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Radio Link Monitoring, Interruption, SCell Activation and Deactivation Delay, Link Recovery Procedures, etc</w:t>
            </w:r>
          </w:p>
        </w:tc>
      </w:tr>
      <w:tr w14:paraId="2D96D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77C486BB">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Procedure</w:t>
            </w:r>
          </w:p>
        </w:tc>
        <w:tc>
          <w:tcPr>
            <w:tcW w:w="7019" w:type="dxa"/>
          </w:tcPr>
          <w:p w14:paraId="6DB8900A">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Measurement gap including gap pattern and gap type, UE Measurement capability, L3/L1 measurements requirements, Inter-RAT measurements, etc</w:t>
            </w:r>
          </w:p>
        </w:tc>
      </w:tr>
      <w:tr w14:paraId="2F32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ECC844F">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Performance requirements</w:t>
            </w:r>
          </w:p>
        </w:tc>
        <w:tc>
          <w:tcPr>
            <w:tcW w:w="7019" w:type="dxa"/>
          </w:tcPr>
          <w:p w14:paraId="7074FBA7">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RSRP/RSRQ/SINR accuracy requirements, etc</w:t>
            </w:r>
          </w:p>
        </w:tc>
      </w:tr>
    </w:tbl>
    <w:p w14:paraId="6AD323C5">
      <w:pPr>
        <w:tabs>
          <w:tab w:val="left" w:pos="1134"/>
        </w:tabs>
        <w:spacing w:after="180" w:line="240" w:lineRule="exact"/>
        <w:rPr>
          <w:rFonts w:hint="eastAsia" w:ascii="Times New Roman" w:hAnsi="Times New Roman"/>
          <w:sz w:val="20"/>
          <w:szCs w:val="20"/>
        </w:rPr>
      </w:pPr>
    </w:p>
    <w:p w14:paraId="3DFB350E">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Observation 1: in NR, with the definition on </w:t>
      </w:r>
      <w:r>
        <w:rPr>
          <w:rFonts w:hint="eastAsia" w:ascii="Times New Roman" w:hAnsi="Times New Roman" w:eastAsia="等线"/>
          <w:b/>
          <w:bCs w:val="0"/>
          <w:i/>
          <w:iCs w:val="0"/>
          <w:sz w:val="20"/>
          <w:szCs w:val="20"/>
          <w:lang w:val="en-US" w:eastAsia="zh-CN"/>
        </w:rPr>
        <w:t>intra-frequency/inter-frequency measurement, measurement r</w:t>
      </w:r>
      <w:r>
        <w:rPr>
          <w:rFonts w:hint="default" w:ascii="Times New Roman" w:hAnsi="Times New Roman" w:eastAsia="等线"/>
          <w:b/>
          <w:bCs w:val="0"/>
          <w:i/>
          <w:iCs w:val="0"/>
          <w:sz w:val="20"/>
          <w:szCs w:val="20"/>
          <w:vertAlign w:val="baseline"/>
          <w:lang w:val="en-US" w:eastAsia="zh-CN"/>
        </w:rPr>
        <w:t>equirements are categorized into 4 cases: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w:t>
      </w:r>
      <w:r>
        <w:rPr>
          <w:rFonts w:hint="eastAsia" w:ascii="Times New Roman" w:hAnsi="Times New Roman" w:eastAsia="等线"/>
          <w:b/>
          <w:bCs w:val="0"/>
          <w:i/>
          <w:iCs w:val="0"/>
          <w:sz w:val="20"/>
          <w:szCs w:val="20"/>
          <w:vertAlign w:val="baseline"/>
          <w:lang w:val="en-US" w:eastAsia="zh-CN"/>
        </w:rPr>
        <w:t xml:space="preserve">, which results in complex specification and increased RAN4 workload.   </w:t>
      </w:r>
    </w:p>
    <w:p w14:paraId="21F9E99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discuss whether following consideration is feasible for RRM requirements categorization</w:t>
      </w:r>
    </w:p>
    <w:p w14:paraId="0F7BF25B">
      <w:pPr>
        <w:numPr>
          <w:ilvl w:val="0"/>
          <w:numId w:val="6"/>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Option 1: no definition on intra-frequency/ inter-frequency measurement. Measurement requirements are categorized as measurement with gap and measurement without gap </w:t>
      </w:r>
    </w:p>
    <w:p w14:paraId="2DDB2AC9">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7"/>
        <w:framePr w:wrap="auto" w:vAnchor="margin" w:hAnchor="text" w:yAlign="inline"/>
        <w:numPr>
          <w:ilvl w:val="0"/>
          <w:numId w:val="7"/>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7"/>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196982FA">
      <w:pPr>
        <w:pStyle w:val="17"/>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R4-2514648</w:t>
      </w:r>
      <w:r>
        <w:rPr>
          <w:rFonts w:hint="eastAsia" w:ascii="Times" w:hAnsi="Times" w:eastAsia="宋体"/>
          <w:b w:val="0"/>
          <w:sz w:val="20"/>
          <w:lang w:val="en-US" w:eastAsia="zh-CN"/>
        </w:rPr>
        <w:t>, Way Forward for [116bis][111] 6G operation efficiency, CATT</w:t>
      </w:r>
    </w:p>
    <w:p w14:paraId="37C6161F">
      <w:pPr>
        <w:pStyle w:val="17"/>
        <w:framePr w:wrap="auto" w:vAnchor="margin" w:hAnchor="text" w:yAlign="inline"/>
        <w:ind w:right="400"/>
        <w:jc w:val="both"/>
        <w:rPr>
          <w:rFonts w:ascii="Times" w:hAnsi="Times" w:eastAsia="宋体"/>
          <w:b w:val="0"/>
          <w:sz w:val="20"/>
          <w:lang w:eastAsia="zh-CN"/>
        </w:rPr>
      </w:pPr>
    </w:p>
    <w:p w14:paraId="32EF543F">
      <w:pPr>
        <w:pStyle w:val="17"/>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9984889"/>
    <w:multiLevelType w:val="singleLevel"/>
    <w:tmpl w:val="29984889"/>
    <w:lvl w:ilvl="0" w:tentative="0">
      <w:start w:val="1"/>
      <w:numFmt w:val="bullet"/>
      <w:lvlText w:val=""/>
      <w:lvlJc w:val="left"/>
      <w:pPr>
        <w:ind w:left="420" w:hanging="420"/>
      </w:pPr>
      <w:rPr>
        <w:rFonts w:hint="default" w:ascii="Wingdings" w:hAnsi="Wingdings"/>
      </w:rPr>
    </w:lvl>
  </w:abstractNum>
  <w:abstractNum w:abstractNumId="3">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lang w:val="en-U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70146DC0"/>
    <w:multiLevelType w:val="multilevel"/>
    <w:tmpl w:val="70146DC0"/>
    <w:lvl w:ilvl="0" w:tentative="0">
      <w:start w:val="1"/>
      <w:numFmt w:val="bullet"/>
      <w:pStyle w:val="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3"/>
  </w:num>
  <w:num w:numId="3">
    <w:abstractNumId w:val="5"/>
  </w:num>
  <w:num w:numId="4">
    <w:abstractNumId w:val="1"/>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6254DA5"/>
    <w:rsid w:val="06707FDE"/>
    <w:rsid w:val="06E076D6"/>
    <w:rsid w:val="08B50B7B"/>
    <w:rsid w:val="09405F3B"/>
    <w:rsid w:val="09B01C47"/>
    <w:rsid w:val="0A573618"/>
    <w:rsid w:val="0ACF434F"/>
    <w:rsid w:val="0B943C03"/>
    <w:rsid w:val="0BC85BF9"/>
    <w:rsid w:val="0C6A7922"/>
    <w:rsid w:val="0D2F0577"/>
    <w:rsid w:val="0DE85960"/>
    <w:rsid w:val="0E4350CC"/>
    <w:rsid w:val="0E77636A"/>
    <w:rsid w:val="0EB208AB"/>
    <w:rsid w:val="0F486821"/>
    <w:rsid w:val="0F4C27CC"/>
    <w:rsid w:val="0FA30B04"/>
    <w:rsid w:val="0FE50EF5"/>
    <w:rsid w:val="104416C8"/>
    <w:rsid w:val="105F7F23"/>
    <w:rsid w:val="10B06298"/>
    <w:rsid w:val="111346BF"/>
    <w:rsid w:val="11A46535"/>
    <w:rsid w:val="127D6382"/>
    <w:rsid w:val="13580BCE"/>
    <w:rsid w:val="13AD1DFD"/>
    <w:rsid w:val="142E3B2B"/>
    <w:rsid w:val="1444244B"/>
    <w:rsid w:val="14A31207"/>
    <w:rsid w:val="14A423A8"/>
    <w:rsid w:val="15273D43"/>
    <w:rsid w:val="15685863"/>
    <w:rsid w:val="159403F8"/>
    <w:rsid w:val="15C5068C"/>
    <w:rsid w:val="17ED0CBB"/>
    <w:rsid w:val="18B21538"/>
    <w:rsid w:val="19150AB5"/>
    <w:rsid w:val="198619D0"/>
    <w:rsid w:val="1A720A97"/>
    <w:rsid w:val="1AB30271"/>
    <w:rsid w:val="1C812CD0"/>
    <w:rsid w:val="1C970BAC"/>
    <w:rsid w:val="1CC96948"/>
    <w:rsid w:val="1ECE074D"/>
    <w:rsid w:val="1ED21B3B"/>
    <w:rsid w:val="1FDE5642"/>
    <w:rsid w:val="202110DB"/>
    <w:rsid w:val="20A3117D"/>
    <w:rsid w:val="219E0135"/>
    <w:rsid w:val="23D51059"/>
    <w:rsid w:val="23FC482E"/>
    <w:rsid w:val="25C11700"/>
    <w:rsid w:val="29552CDF"/>
    <w:rsid w:val="29932436"/>
    <w:rsid w:val="2BF14216"/>
    <w:rsid w:val="2C401128"/>
    <w:rsid w:val="2CC24862"/>
    <w:rsid w:val="2E9742CA"/>
    <w:rsid w:val="2F3D15B9"/>
    <w:rsid w:val="30696528"/>
    <w:rsid w:val="31890F43"/>
    <w:rsid w:val="33DB32E0"/>
    <w:rsid w:val="33F73CD2"/>
    <w:rsid w:val="342D50A6"/>
    <w:rsid w:val="34453CA2"/>
    <w:rsid w:val="3491789D"/>
    <w:rsid w:val="35D22FBC"/>
    <w:rsid w:val="393E203F"/>
    <w:rsid w:val="39C97388"/>
    <w:rsid w:val="39FB0130"/>
    <w:rsid w:val="3B812128"/>
    <w:rsid w:val="3BFF4ED4"/>
    <w:rsid w:val="3DAC4137"/>
    <w:rsid w:val="3DD71886"/>
    <w:rsid w:val="3DEF01B7"/>
    <w:rsid w:val="3E546750"/>
    <w:rsid w:val="3E9E1A93"/>
    <w:rsid w:val="3EBD67B5"/>
    <w:rsid w:val="41E07AAE"/>
    <w:rsid w:val="42750B50"/>
    <w:rsid w:val="44715EBB"/>
    <w:rsid w:val="46064E72"/>
    <w:rsid w:val="47617B01"/>
    <w:rsid w:val="47E11C0A"/>
    <w:rsid w:val="480239B3"/>
    <w:rsid w:val="48742152"/>
    <w:rsid w:val="4AD66A58"/>
    <w:rsid w:val="4BE64593"/>
    <w:rsid w:val="4D3D03C8"/>
    <w:rsid w:val="4DC1731C"/>
    <w:rsid w:val="4E1736E9"/>
    <w:rsid w:val="4E5A52AA"/>
    <w:rsid w:val="52716224"/>
    <w:rsid w:val="54CA68AA"/>
    <w:rsid w:val="5516017D"/>
    <w:rsid w:val="593772D0"/>
    <w:rsid w:val="59587923"/>
    <w:rsid w:val="5DCC0D69"/>
    <w:rsid w:val="5E59533E"/>
    <w:rsid w:val="5EED722B"/>
    <w:rsid w:val="6037300A"/>
    <w:rsid w:val="61554B37"/>
    <w:rsid w:val="627A171F"/>
    <w:rsid w:val="62BA6389"/>
    <w:rsid w:val="63860958"/>
    <w:rsid w:val="63AA2F5C"/>
    <w:rsid w:val="64D4424F"/>
    <w:rsid w:val="65991FE6"/>
    <w:rsid w:val="65E96850"/>
    <w:rsid w:val="67010C05"/>
    <w:rsid w:val="6701538B"/>
    <w:rsid w:val="68B305D5"/>
    <w:rsid w:val="68B74A5D"/>
    <w:rsid w:val="68DA43C8"/>
    <w:rsid w:val="6A356F1A"/>
    <w:rsid w:val="6AC458C1"/>
    <w:rsid w:val="6B380692"/>
    <w:rsid w:val="6C8E3A48"/>
    <w:rsid w:val="6D205895"/>
    <w:rsid w:val="6D5078E4"/>
    <w:rsid w:val="6DCF5B71"/>
    <w:rsid w:val="6E54240F"/>
    <w:rsid w:val="6F3538B4"/>
    <w:rsid w:val="6F984846"/>
    <w:rsid w:val="715440AF"/>
    <w:rsid w:val="721B1B84"/>
    <w:rsid w:val="724D5513"/>
    <w:rsid w:val="72DB5D9E"/>
    <w:rsid w:val="739A5EFA"/>
    <w:rsid w:val="753E3654"/>
    <w:rsid w:val="75886832"/>
    <w:rsid w:val="77D070AC"/>
    <w:rsid w:val="78CB296A"/>
    <w:rsid w:val="79CD59E4"/>
    <w:rsid w:val="79D9262A"/>
    <w:rsid w:val="7A4603DC"/>
    <w:rsid w:val="7AB15C57"/>
    <w:rsid w:val="7B110F3C"/>
    <w:rsid w:val="7BD9715F"/>
    <w:rsid w:val="7C3F4164"/>
    <w:rsid w:val="7D8F7DF3"/>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5"/>
    <w:basedOn w:val="11"/>
    <w:qFormat/>
    <w:uiPriority w:val="0"/>
    <w:pPr>
      <w:ind w:left="1702"/>
    </w:pPr>
  </w:style>
  <w:style w:type="paragraph" w:styleId="11">
    <w:name w:val="List 4"/>
    <w:basedOn w:val="3"/>
    <w:qFormat/>
    <w:uiPriority w:val="0"/>
    <w:pPr>
      <w:ind w:left="1418"/>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5"/>
    <w:qFormat/>
    <w:uiPriority w:val="0"/>
    <w:pPr>
      <w:ind w:left="568" w:hanging="284"/>
    </w:pPr>
  </w:style>
  <w:style w:type="paragraph" w:customStyle="1" w:styleId="19">
    <w:name w:val="B2"/>
    <w:basedOn w:val="4"/>
    <w:qFormat/>
    <w:uiPriority w:val="0"/>
    <w:pPr>
      <w:ind w:left="851" w:hanging="284"/>
    </w:pPr>
  </w:style>
  <w:style w:type="paragraph" w:customStyle="1" w:styleId="20">
    <w:name w:val="B3"/>
    <w:basedOn w:val="3"/>
    <w:qFormat/>
    <w:uiPriority w:val="0"/>
    <w:pPr>
      <w:ind w:left="1135" w:hanging="284"/>
    </w:pPr>
  </w:style>
  <w:style w:type="paragraph" w:customStyle="1" w:styleId="21">
    <w:name w:val="Agreement"/>
    <w:basedOn w:val="1"/>
    <w:next w:val="22"/>
    <w:qFormat/>
    <w:uiPriority w:val="99"/>
    <w:pPr>
      <w:numPr>
        <w:ilvl w:val="0"/>
        <w:numId w:val="3"/>
      </w:numPr>
      <w:spacing w:before="60"/>
    </w:pPr>
    <w:rPr>
      <w:b/>
    </w:rPr>
  </w:style>
  <w:style w:type="paragraph" w:customStyle="1" w:styleId="22">
    <w:name w:val="Doc-text2"/>
    <w:basedOn w:val="1"/>
    <w:qFormat/>
    <w:uiPriority w:val="0"/>
    <w:pPr>
      <w:tabs>
        <w:tab w:val="left" w:pos="1622"/>
      </w:tabs>
      <w:spacing w:before="0"/>
      <w:ind w:left="1622" w:hanging="363"/>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4"/>
    <w:basedOn w:val="11"/>
    <w:qFormat/>
    <w:uiPriority w:val="0"/>
  </w:style>
  <w:style w:type="paragraph" w:customStyle="1" w:styleId="29">
    <w:name w:val="B5"/>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2025-11-07T07:25:55Z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